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74062" w14:textId="280C2E2E" w:rsidR="001A4069" w:rsidRDefault="001A4069" w:rsidP="001A40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9050" distB="19050" distL="19050" distR="19050" simplePos="0" relativeHeight="251659264" behindDoc="0" locked="0" layoutInCell="1" hidden="0" allowOverlap="1" wp14:anchorId="05E4AB40" wp14:editId="238BFC3F">
            <wp:simplePos x="0" y="0"/>
            <wp:positionH relativeFrom="column">
              <wp:posOffset>4687661</wp:posOffset>
            </wp:positionH>
            <wp:positionV relativeFrom="paragraph">
              <wp:posOffset>0</wp:posOffset>
            </wp:positionV>
            <wp:extent cx="1307269" cy="2038717"/>
            <wp:effectExtent l="0" t="0" r="0" b="0"/>
            <wp:wrapSquare wrapText="bothSides" distT="19050" distB="19050" distL="19050" distR="190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b="47389"/>
                    <a:stretch>
                      <a:fillRect/>
                    </a:stretch>
                  </pic:blipFill>
                  <pic:spPr>
                    <a:xfrm>
                      <a:off x="0" y="0"/>
                      <a:ext cx="1307269" cy="2038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Jacob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Voudren</w:t>
      </w:r>
      <w:proofErr w:type="spellEnd"/>
    </w:p>
    <w:p w14:paraId="6E1DACD1" w14:textId="35F8E23E" w:rsidR="001A4069" w:rsidRDefault="001A4069" w:rsidP="001A40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in Course</w:t>
      </w:r>
      <w:r>
        <w:rPr>
          <w:rFonts w:ascii="Times New Roman" w:eastAsia="Times New Roman" w:hAnsi="Times New Roman" w:cs="Times New Roman"/>
          <w:sz w:val="24"/>
          <w:szCs w:val="24"/>
        </w:rPr>
        <w:t>: 3rd (Senior)</w:t>
      </w:r>
    </w:p>
    <w:p w14:paraId="037BB721" w14:textId="77777777" w:rsidR="001A4069" w:rsidRDefault="001A4069" w:rsidP="001A40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Biomedical Sciences, Biotechnology, Genetics </w:t>
      </w:r>
    </w:p>
    <w:p w14:paraId="3C2D215D" w14:textId="77777777" w:rsidR="001A4069" w:rsidRDefault="001A4069" w:rsidP="001A4069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A65C55A" w14:textId="77777777" w:rsidR="001A4069" w:rsidRDefault="001A4069" w:rsidP="001A4069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1D50DBFF" w14:textId="77777777" w:rsidR="001A4069" w:rsidRDefault="001A4069" w:rsidP="001A40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Dr. Mark A. Morrissey; Director of the Newborn Screening Lab for the New York State Department of Health’s Division of Genetics </w:t>
      </w:r>
    </w:p>
    <w:p w14:paraId="4214985C" w14:textId="77777777" w:rsidR="001A4069" w:rsidRDefault="001A4069" w:rsidP="001A4069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2B25C948" w14:textId="77777777" w:rsidR="001A4069" w:rsidRDefault="001A4069" w:rsidP="001A40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The Feasibility of Improving Positive Predictive Values for MCAD Deficiency through the Use of Additional Acetyl-carnitine Markers</w:t>
      </w:r>
    </w:p>
    <w:p w14:paraId="457B332E" w14:textId="77777777" w:rsidR="001A4069" w:rsidRDefault="001A4069">
      <w:pPr>
        <w:spacing w:before="200"/>
        <w:jc w:val="center"/>
        <w:rPr>
          <w:b/>
          <w:sz w:val="28"/>
          <w:szCs w:val="28"/>
          <w:u w:val="single"/>
        </w:rPr>
      </w:pPr>
    </w:p>
    <w:p w14:paraId="00000001" w14:textId="77777777" w:rsidR="00F13F50" w:rsidRPr="001A4069" w:rsidRDefault="001A4069" w:rsidP="001A4069">
      <w:pPr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069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00000002" w14:textId="77777777" w:rsidR="00F13F50" w:rsidRPr="001A4069" w:rsidRDefault="001A4069" w:rsidP="001A4069">
      <w:pPr>
        <w:spacing w:before="20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4069">
        <w:rPr>
          <w:rFonts w:ascii="Times New Roman" w:eastAsia="Times New Roman" w:hAnsi="Times New Roman" w:cs="Times New Roman"/>
          <w:sz w:val="24"/>
          <w:szCs w:val="24"/>
        </w:rPr>
        <w:t>Fatty-Acid Oxidation disorders (FOD) are a subcategory of metabolic disorders that affect the functionality of fatty acid transport and mitochondrial β-oxidation (4). Complications due to fatty-acid oxidati</w:t>
      </w:r>
      <w:bookmarkStart w:id="0" w:name="_GoBack"/>
      <w:bookmarkEnd w:id="0"/>
      <w:r w:rsidRPr="001A4069">
        <w:rPr>
          <w:rFonts w:ascii="Times New Roman" w:eastAsia="Times New Roman" w:hAnsi="Times New Roman" w:cs="Times New Roman"/>
          <w:sz w:val="24"/>
          <w:szCs w:val="24"/>
        </w:rPr>
        <w:t>on disorders cause individuals to go into a metabo</w:t>
      </w:r>
      <w:r w:rsidRPr="001A4069">
        <w:rPr>
          <w:rFonts w:ascii="Times New Roman" w:eastAsia="Times New Roman" w:hAnsi="Times New Roman" w:cs="Times New Roman"/>
          <w:sz w:val="24"/>
          <w:szCs w:val="24"/>
        </w:rPr>
        <w:t>lic crisis. This often requires hospitalization and emergency medical treatment. To prevent these crises, a screening program was implemented in 2002 in order to serve as an early detection system for these rare genetic disorders (1). This screening progra</w:t>
      </w:r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m identifies infants who are at risk of having a rare genetic disorder. Within the last five years </w:t>
      </w:r>
      <w:proofErr w:type="gramStart"/>
      <w:r w:rsidRPr="001A4069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 increase in false-positive results have been recorded by David Axelrod Institute, the center for the newborn screening program in New York. This study add</w:t>
      </w:r>
      <w:r w:rsidRPr="001A4069">
        <w:rPr>
          <w:rFonts w:ascii="Times New Roman" w:eastAsia="Times New Roman" w:hAnsi="Times New Roman" w:cs="Times New Roman"/>
          <w:sz w:val="24"/>
          <w:szCs w:val="24"/>
        </w:rPr>
        <w:t>resses this sudden increase in false-positive through a review of current procedures conducted and the analysis of past samples in order to determine if a secondary biomarker could be identified. Samples analyzed were from archival data preserved by New Yo</w:t>
      </w:r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rk State’s Department of Health Division of Genetics at David Axelrod Institute. Results showed a statistically significant correlation, with an </w:t>
      </w:r>
      <w:proofErr w:type="spellStart"/>
      <w:r w:rsidRPr="001A4069">
        <w:rPr>
          <w:rFonts w:ascii="Times New Roman" w:eastAsia="Times New Roman" w:hAnsi="Times New Roman" w:cs="Times New Roman"/>
          <w:sz w:val="24"/>
          <w:szCs w:val="24"/>
        </w:rPr>
        <w:t>r-value</w:t>
      </w:r>
      <w:proofErr w:type="spellEnd"/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 of 0.887, between the levels of carbon fourteen (C14) and 3-hydroxypalmitoyl carnitine (C16:1-OH) in th</w:t>
      </w:r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e blood of infants who were afflicted with </w:t>
      </w:r>
      <w:proofErr w:type="spellStart"/>
      <w:r w:rsidRPr="001A4069">
        <w:rPr>
          <w:rFonts w:ascii="Times New Roman" w:eastAsia="Times New Roman" w:hAnsi="Times New Roman" w:cs="Times New Roman"/>
          <w:sz w:val="24"/>
          <w:szCs w:val="24"/>
        </w:rPr>
        <w:t>glutaric-acidemia</w:t>
      </w:r>
      <w:proofErr w:type="spellEnd"/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 type two. Additionally the carbon eight (C8) biomarker was found to not be significantly correlated to the levels of C14 or C16:1-OH. These additional biomarkers are crucial in the differentiatio</w:t>
      </w:r>
      <w:r w:rsidRPr="001A4069">
        <w:rPr>
          <w:rFonts w:ascii="Times New Roman" w:eastAsia="Times New Roman" w:hAnsi="Times New Roman" w:cs="Times New Roman"/>
          <w:sz w:val="24"/>
          <w:szCs w:val="24"/>
        </w:rPr>
        <w:t xml:space="preserve">n of diagnosis between medium-chain acyl-CoA dehydrogenase deficiency and multiple acyl-CoA dehydrogenase deficiencies, which significantly decreases the risk of sudden unexpected death in infancy. </w:t>
      </w:r>
    </w:p>
    <w:p w14:paraId="00000003" w14:textId="77777777" w:rsidR="00F13F50" w:rsidRPr="001A4069" w:rsidRDefault="00F13F50" w:rsidP="001A40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3F50" w:rsidRPr="001A40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50"/>
    <w:rsid w:val="001A4069"/>
    <w:rsid w:val="00F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D7922-B85F-45A3-B93D-1747C537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Rinaldo Home</cp:lastModifiedBy>
  <cp:revision>2</cp:revision>
  <dcterms:created xsi:type="dcterms:W3CDTF">2020-05-10T21:44:00Z</dcterms:created>
  <dcterms:modified xsi:type="dcterms:W3CDTF">2020-05-10T21:45:00Z</dcterms:modified>
</cp:coreProperties>
</file>